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3F95" w:rsidRDefault="00A305CB" w14:paraId="15C46C5C" w14:textId="725A084E">
      <w:pPr>
        <w:spacing w:after="0" w:line="259" w:lineRule="auto"/>
        <w:ind w:left="0" w:firstLine="0"/>
      </w:pPr>
      <w:r>
        <w:rPr>
          <w:b/>
        </w:rPr>
        <w:t>Preparing for Adulthood (PfA): You said, We did (December 2019)</w:t>
      </w:r>
    </w:p>
    <w:p w:rsidR="00F93F95" w:rsidRDefault="00A305CB" w14:paraId="2B7DB2FB" w14:textId="77777777">
      <w:pPr>
        <w:spacing w:after="0" w:line="259" w:lineRule="auto"/>
        <w:ind w:left="0" w:firstLine="0"/>
      </w:pPr>
      <w:r>
        <w:t xml:space="preserve"> </w:t>
      </w:r>
    </w:p>
    <w:p w:rsidR="00F93F95" w:rsidRDefault="00A305CB" w14:paraId="10480B72" w14:textId="77777777">
      <w:pPr>
        <w:ind w:left="-5"/>
      </w:pPr>
      <w:r>
        <w:t xml:space="preserve">As part of our development of preparation for adulthood, we spoke to parents, </w:t>
      </w:r>
      <w:proofErr w:type="gramStart"/>
      <w:r>
        <w:t>carers</w:t>
      </w:r>
      <w:proofErr w:type="gramEnd"/>
      <w:r>
        <w:t xml:space="preserve"> and young people about what they would like to see, </w:t>
      </w:r>
      <w:r>
        <w:t xml:space="preserve">which would help them prepare for adult life. </w:t>
      </w:r>
    </w:p>
    <w:p w:rsidR="00A305CB" w:rsidRDefault="00A305CB" w14:paraId="4A2FABD3" w14:textId="77777777">
      <w:pPr>
        <w:spacing w:after="0" w:line="259" w:lineRule="auto"/>
        <w:ind w:left="0" w:firstLine="0"/>
      </w:pPr>
    </w:p>
    <w:p w:rsidR="00F93F95" w:rsidRDefault="00A305CB" w14:paraId="36EBDA19" w14:textId="1978CBD0">
      <w:pPr>
        <w:spacing w:after="0" w:line="259" w:lineRule="auto"/>
        <w:ind w:left="0" w:firstLine="0"/>
      </w:pPr>
      <w:r>
        <w:t>We are currently developing our plans and will be working with young people and parents/carers throughout 2020 to add detail to those plans and to ensure that they are co-produced. We have developed an interim action plan to help shape our work, based on the feedback we received, as well as the views of practitioners in children’s and adults’ services. You will find below some of the main actions we are taking based on that feedback.</w:t>
      </w:r>
    </w:p>
    <w:tbl>
      <w:tblPr>
        <w:tblStyle w:val="TableGrid"/>
        <w:tblpPr w:vertAnchor="page" w:horzAnchor="page" w:tblpX="1331" w:tblpY="5304"/>
        <w:tblOverlap w:val="never"/>
        <w:tblW w:w="9021" w:type="dxa"/>
        <w:tblInd w:w="0" w:type="dxa"/>
        <w:tblCellMar>
          <w:top w:w="4" w:type="dxa"/>
          <w:left w:w="108" w:type="dxa"/>
          <w:bottom w:w="0" w:type="dxa"/>
          <w:right w:w="0" w:type="dxa"/>
        </w:tblCellMar>
        <w:tblLook w:val="04A0" w:firstRow="1" w:lastRow="0" w:firstColumn="1" w:lastColumn="0" w:noHBand="0" w:noVBand="1"/>
      </w:tblPr>
      <w:tblGrid>
        <w:gridCol w:w="4509"/>
        <w:gridCol w:w="4512"/>
      </w:tblGrid>
      <w:tr w:rsidR="00F93F95" w14:paraId="4B7A5652" w14:textId="77777777">
        <w:trPr>
          <w:trHeight w:val="295"/>
        </w:trPr>
        <w:tc>
          <w:tcPr>
            <w:tcW w:w="9021" w:type="dxa"/>
            <w:gridSpan w:val="2"/>
            <w:tcBorders>
              <w:top w:val="nil"/>
              <w:left w:val="nil"/>
              <w:bottom w:val="nil"/>
              <w:right w:val="nil"/>
            </w:tcBorders>
            <w:shd w:val="clear" w:color="auto" w:fill="000000"/>
          </w:tcPr>
          <w:p w:rsidR="00F93F95" w:rsidRDefault="00A305CB" w14:paraId="111AC814" w14:textId="77777777">
            <w:pPr>
              <w:tabs>
                <w:tab w:val="center" w:pos="4955"/>
              </w:tabs>
              <w:spacing w:after="0" w:line="259" w:lineRule="auto"/>
              <w:ind w:left="0" w:firstLine="0"/>
            </w:pPr>
            <w:r>
              <w:rPr>
                <w:b/>
                <w:color w:val="FFFFFF"/>
              </w:rPr>
              <w:t xml:space="preserve">You said: </w:t>
            </w:r>
            <w:r>
              <w:rPr>
                <w:b/>
                <w:color w:val="FFFFFF"/>
              </w:rPr>
              <w:tab/>
              <w:t xml:space="preserve">We will: </w:t>
            </w:r>
          </w:p>
        </w:tc>
      </w:tr>
      <w:tr w:rsidR="00F93F95" w14:paraId="5678F559" w14:textId="77777777">
        <w:trPr>
          <w:trHeight w:val="1109"/>
        </w:trPr>
        <w:tc>
          <w:tcPr>
            <w:tcW w:w="4509" w:type="dxa"/>
            <w:tcBorders>
              <w:top w:val="nil"/>
              <w:left w:val="single" w:color="000000" w:sz="4" w:space="0"/>
              <w:bottom w:val="single" w:color="000000" w:sz="4" w:space="0"/>
              <w:right w:val="single" w:color="000000" w:sz="4" w:space="0"/>
            </w:tcBorders>
          </w:tcPr>
          <w:p w:rsidR="00F93F95" w:rsidRDefault="00A305CB" w14:paraId="2F4E6454" w14:textId="77777777">
            <w:pPr>
              <w:spacing w:after="0" w:line="259" w:lineRule="auto"/>
              <w:ind w:left="1" w:right="13" w:firstLine="0"/>
            </w:pPr>
            <w:r>
              <w:t xml:space="preserve">Collaborate with us at the earliest possible opportunity and have their views help to support change </w:t>
            </w:r>
          </w:p>
        </w:tc>
        <w:tc>
          <w:tcPr>
            <w:tcW w:w="4512" w:type="dxa"/>
            <w:tcBorders>
              <w:top w:val="nil"/>
              <w:left w:val="single" w:color="000000" w:sz="4" w:space="0"/>
              <w:bottom w:val="single" w:color="000000" w:sz="4" w:space="0"/>
              <w:right w:val="single" w:color="000000" w:sz="4" w:space="0"/>
            </w:tcBorders>
          </w:tcPr>
          <w:p w:rsidR="00F93F95" w:rsidRDefault="00A305CB" w14:paraId="6D6BAA80" w14:textId="77777777">
            <w:pPr>
              <w:spacing w:after="0" w:line="259" w:lineRule="auto"/>
              <w:ind w:left="0" w:firstLine="0"/>
            </w:pPr>
            <w:r>
              <w:t xml:space="preserve">Work with our Parent Carer Forum, Foundation and Collaboration Group to co-produce </w:t>
            </w:r>
            <w:r>
              <w:t xml:space="preserve">our PfA Development Plan other documents and services.  </w:t>
            </w:r>
          </w:p>
        </w:tc>
      </w:tr>
      <w:tr w:rsidR="00F93F95" w14:paraId="11B46595" w14:textId="77777777">
        <w:trPr>
          <w:trHeight w:val="1114"/>
        </w:trPr>
        <w:tc>
          <w:tcPr>
            <w:tcW w:w="4509" w:type="dxa"/>
            <w:tcBorders>
              <w:top w:val="single" w:color="000000" w:sz="4" w:space="0"/>
              <w:left w:val="single" w:color="000000" w:sz="4" w:space="0"/>
              <w:bottom w:val="single" w:color="000000" w:sz="4" w:space="0"/>
              <w:right w:val="single" w:color="000000" w:sz="4" w:space="0"/>
            </w:tcBorders>
          </w:tcPr>
          <w:p w:rsidR="00F93F95" w:rsidRDefault="00A305CB" w14:paraId="7969331E" w14:textId="77777777">
            <w:pPr>
              <w:spacing w:after="0" w:line="259" w:lineRule="auto"/>
              <w:ind w:left="1" w:right="89" w:firstLine="0"/>
            </w:pPr>
            <w:r>
              <w:t xml:space="preserve">Young people and their parents want to feel safe and confident in their local area </w:t>
            </w:r>
          </w:p>
        </w:tc>
        <w:tc>
          <w:tcPr>
            <w:tcW w:w="4512" w:type="dxa"/>
            <w:tcBorders>
              <w:top w:val="single" w:color="000000" w:sz="4" w:space="0"/>
              <w:left w:val="single" w:color="000000" w:sz="4" w:space="0"/>
              <w:bottom w:val="single" w:color="000000" w:sz="4" w:space="0"/>
              <w:right w:val="single" w:color="000000" w:sz="4" w:space="0"/>
            </w:tcBorders>
          </w:tcPr>
          <w:p w:rsidR="00F93F95" w:rsidRDefault="00A305CB" w14:paraId="53DAF34B" w14:textId="77777777">
            <w:pPr>
              <w:spacing w:after="0" w:line="259" w:lineRule="auto"/>
              <w:ind w:left="0" w:firstLine="0"/>
            </w:pPr>
            <w:r>
              <w:t xml:space="preserve">Work with providers to develop inclusion in universal settings as well review the capacity of current specialist provision across BCP. </w:t>
            </w:r>
          </w:p>
        </w:tc>
      </w:tr>
      <w:tr w:rsidR="00F93F95" w14:paraId="7625964E" w14:textId="77777777">
        <w:trPr>
          <w:trHeight w:val="1942"/>
        </w:trPr>
        <w:tc>
          <w:tcPr>
            <w:tcW w:w="4509" w:type="dxa"/>
            <w:tcBorders>
              <w:top w:val="single" w:color="000000" w:sz="4" w:space="0"/>
              <w:left w:val="single" w:color="000000" w:sz="4" w:space="0"/>
              <w:bottom w:val="single" w:color="000000" w:sz="4" w:space="0"/>
              <w:right w:val="single" w:color="000000" w:sz="4" w:space="0"/>
            </w:tcBorders>
          </w:tcPr>
          <w:p w:rsidR="00F93F95" w:rsidRDefault="00A305CB" w14:paraId="50A9B6BB" w14:textId="77777777">
            <w:pPr>
              <w:spacing w:after="0" w:line="259" w:lineRule="auto"/>
              <w:ind w:left="1" w:firstLine="0"/>
            </w:pPr>
            <w:r>
              <w:t xml:space="preserve">The Local Offer (LO) is hard to use as there is a lot of information on it and it’s hard to know if it’s up to date </w:t>
            </w:r>
          </w:p>
        </w:tc>
        <w:tc>
          <w:tcPr>
            <w:tcW w:w="4512" w:type="dxa"/>
            <w:tcBorders>
              <w:top w:val="single" w:color="000000" w:sz="4" w:space="0"/>
              <w:left w:val="single" w:color="000000" w:sz="4" w:space="0"/>
              <w:bottom w:val="single" w:color="000000" w:sz="4" w:space="0"/>
              <w:right w:val="single" w:color="000000" w:sz="4" w:space="0"/>
            </w:tcBorders>
          </w:tcPr>
          <w:p w:rsidR="00F93F95" w:rsidRDefault="00A305CB" w14:paraId="19D40737" w14:textId="77777777">
            <w:pPr>
              <w:spacing w:after="0" w:line="259" w:lineRule="auto"/>
              <w:ind w:left="0" w:right="146" w:firstLine="0"/>
            </w:pPr>
            <w:r>
              <w:t xml:space="preserve">Update the PfA pages of the LO to provide clear, </w:t>
            </w:r>
            <w:proofErr w:type="gramStart"/>
            <w:r>
              <w:t>concise</w:t>
            </w:r>
            <w:proofErr w:type="gramEnd"/>
            <w:r>
              <w:t xml:space="preserve"> and up-to-date information. This will include information on the pathways into adu</w:t>
            </w:r>
            <w:r>
              <w:t xml:space="preserve">lthood. Work with parents, </w:t>
            </w:r>
            <w:proofErr w:type="gramStart"/>
            <w:r>
              <w:t>carers</w:t>
            </w:r>
            <w:proofErr w:type="gramEnd"/>
            <w:r>
              <w:t xml:space="preserve"> and young people to co-produce information for the PfA pages of the LO, as necessary. </w:t>
            </w:r>
          </w:p>
        </w:tc>
      </w:tr>
      <w:tr w:rsidR="00F93F95" w14:paraId="706E07B5" w14:textId="77777777">
        <w:trPr>
          <w:trHeight w:val="1390"/>
        </w:trPr>
        <w:tc>
          <w:tcPr>
            <w:tcW w:w="4509" w:type="dxa"/>
            <w:tcBorders>
              <w:top w:val="single" w:color="000000" w:sz="4" w:space="0"/>
              <w:left w:val="single" w:color="000000" w:sz="4" w:space="0"/>
              <w:bottom w:val="single" w:color="000000" w:sz="4" w:space="0"/>
              <w:right w:val="single" w:color="000000" w:sz="4" w:space="0"/>
            </w:tcBorders>
          </w:tcPr>
          <w:p w:rsidR="00F93F95" w:rsidRDefault="00A305CB" w14:paraId="1B041990" w14:textId="77777777">
            <w:pPr>
              <w:spacing w:after="0" w:line="259" w:lineRule="auto"/>
              <w:ind w:left="1" w:right="10" w:firstLine="0"/>
            </w:pPr>
            <w:r>
              <w:t xml:space="preserve">Young people need opportunities to learn independent-living skills both in a home environment and in their local community </w:t>
            </w:r>
          </w:p>
        </w:tc>
        <w:tc>
          <w:tcPr>
            <w:tcW w:w="4512" w:type="dxa"/>
            <w:tcBorders>
              <w:top w:val="single" w:color="000000" w:sz="4" w:space="0"/>
              <w:left w:val="single" w:color="000000" w:sz="4" w:space="0"/>
              <w:bottom w:val="single" w:color="000000" w:sz="4" w:space="0"/>
              <w:right w:val="single" w:color="000000" w:sz="4" w:space="0"/>
            </w:tcBorders>
          </w:tcPr>
          <w:p w:rsidR="00F93F95" w:rsidRDefault="00A305CB" w14:paraId="07555A18" w14:textId="77777777">
            <w:pPr>
              <w:spacing w:after="0" w:line="259" w:lineRule="auto"/>
              <w:ind w:left="0" w:firstLine="0"/>
            </w:pPr>
            <w:r>
              <w:t>Developmen</w:t>
            </w:r>
            <w:r>
              <w:t xml:space="preserve">t of the PfA pathways will include opportunities to learn independent living skills, through short breaks activities, </w:t>
            </w:r>
            <w:proofErr w:type="gramStart"/>
            <w:r>
              <w:t>schools</w:t>
            </w:r>
            <w:proofErr w:type="gramEnd"/>
            <w:r>
              <w:t xml:space="preserve"> and post-16 provision. </w:t>
            </w:r>
          </w:p>
        </w:tc>
      </w:tr>
      <w:tr w:rsidR="00F93F95" w14:paraId="74FEEC32" w14:textId="77777777">
        <w:trPr>
          <w:trHeight w:val="1668"/>
        </w:trPr>
        <w:tc>
          <w:tcPr>
            <w:tcW w:w="4509" w:type="dxa"/>
            <w:tcBorders>
              <w:top w:val="single" w:color="000000" w:sz="4" w:space="0"/>
              <w:left w:val="single" w:color="000000" w:sz="4" w:space="0"/>
              <w:bottom w:val="single" w:color="000000" w:sz="4" w:space="0"/>
              <w:right w:val="single" w:color="000000" w:sz="4" w:space="0"/>
            </w:tcBorders>
          </w:tcPr>
          <w:p w:rsidR="00F93F95" w:rsidRDefault="00A305CB" w14:paraId="482AA569" w14:textId="77777777">
            <w:pPr>
              <w:spacing w:after="0" w:line="259" w:lineRule="auto"/>
              <w:ind w:left="1" w:firstLine="0"/>
            </w:pPr>
            <w:r>
              <w:t xml:space="preserve">It is not clear what opportunities are available locally for learning and training  </w:t>
            </w:r>
          </w:p>
        </w:tc>
        <w:tc>
          <w:tcPr>
            <w:tcW w:w="4512" w:type="dxa"/>
            <w:tcBorders>
              <w:top w:val="single" w:color="000000" w:sz="4" w:space="0"/>
              <w:left w:val="single" w:color="000000" w:sz="4" w:space="0"/>
              <w:bottom w:val="single" w:color="000000" w:sz="4" w:space="0"/>
              <w:right w:val="single" w:color="000000" w:sz="4" w:space="0"/>
            </w:tcBorders>
          </w:tcPr>
          <w:p w:rsidR="00F93F95" w:rsidRDefault="00A305CB" w14:paraId="27189453" w14:textId="77777777">
            <w:pPr>
              <w:spacing w:after="0" w:line="259" w:lineRule="auto"/>
              <w:ind w:left="0" w:right="38" w:firstLine="0"/>
            </w:pPr>
            <w:r>
              <w:t>Improve information available on the Local Offer and in other formats. Develop the range of options and provision available which supports young people to live a productiv</w:t>
            </w:r>
            <w:r>
              <w:t xml:space="preserve">e and positive adult life. </w:t>
            </w:r>
          </w:p>
        </w:tc>
      </w:tr>
      <w:tr w:rsidR="00F93F95" w14:paraId="03028610" w14:textId="77777777">
        <w:trPr>
          <w:trHeight w:val="1942"/>
        </w:trPr>
        <w:tc>
          <w:tcPr>
            <w:tcW w:w="4509" w:type="dxa"/>
            <w:tcBorders>
              <w:top w:val="single" w:color="000000" w:sz="4" w:space="0"/>
              <w:left w:val="single" w:color="000000" w:sz="4" w:space="0"/>
              <w:bottom w:val="single" w:color="000000" w:sz="4" w:space="0"/>
              <w:right w:val="single" w:color="000000" w:sz="4" w:space="0"/>
            </w:tcBorders>
          </w:tcPr>
          <w:p w:rsidR="00F93F95" w:rsidRDefault="00A305CB" w14:paraId="72B83545" w14:textId="77777777">
            <w:pPr>
              <w:spacing w:after="0" w:line="259" w:lineRule="auto"/>
              <w:ind w:left="1" w:firstLine="0"/>
            </w:pPr>
            <w:r>
              <w:lastRenderedPageBreak/>
              <w:t xml:space="preserve">We need more supported internship opportunities </w:t>
            </w:r>
          </w:p>
        </w:tc>
        <w:tc>
          <w:tcPr>
            <w:tcW w:w="4512" w:type="dxa"/>
            <w:tcBorders>
              <w:top w:val="single" w:color="000000" w:sz="4" w:space="0"/>
              <w:left w:val="single" w:color="000000" w:sz="4" w:space="0"/>
              <w:bottom w:val="single" w:color="000000" w:sz="4" w:space="0"/>
              <w:right w:val="single" w:color="000000" w:sz="4" w:space="0"/>
            </w:tcBorders>
          </w:tcPr>
          <w:p w:rsidR="00F93F95" w:rsidRDefault="00A305CB" w14:paraId="1FE082B1" w14:textId="77777777">
            <w:pPr>
              <w:spacing w:after="0" w:line="259" w:lineRule="auto"/>
              <w:ind w:left="0" w:right="398" w:firstLine="0"/>
            </w:pPr>
            <w:r>
              <w:t xml:space="preserve">Work with colleges (&amp; other post-16 providers) to increase the number of supported internships available. </w:t>
            </w:r>
            <w:r>
              <w:t xml:space="preserve">Work with employers, including the council, to provide a range of roles which are suitable for supported employment.  </w:t>
            </w:r>
          </w:p>
        </w:tc>
      </w:tr>
      <w:tr w:rsidR="00F93F95" w14:paraId="6B09A37E" w14:textId="77777777">
        <w:trPr>
          <w:trHeight w:val="562"/>
        </w:trPr>
        <w:tc>
          <w:tcPr>
            <w:tcW w:w="4509" w:type="dxa"/>
            <w:tcBorders>
              <w:top w:val="single" w:color="000000" w:sz="4" w:space="0"/>
              <w:left w:val="single" w:color="000000" w:sz="4" w:space="0"/>
              <w:bottom w:val="single" w:color="000000" w:sz="4" w:space="0"/>
              <w:right w:val="single" w:color="000000" w:sz="4" w:space="0"/>
            </w:tcBorders>
          </w:tcPr>
          <w:p w:rsidR="00F93F95" w:rsidRDefault="00A305CB" w14:paraId="12DDCB6A" w14:textId="77777777">
            <w:pPr>
              <w:spacing w:after="0" w:line="259" w:lineRule="auto"/>
              <w:ind w:left="1" w:right="93" w:firstLine="0"/>
            </w:pPr>
            <w:r>
              <w:t xml:space="preserve">We need more information about what is available in adult services </w:t>
            </w:r>
          </w:p>
        </w:tc>
        <w:tc>
          <w:tcPr>
            <w:tcW w:w="4512" w:type="dxa"/>
            <w:tcBorders>
              <w:top w:val="single" w:color="000000" w:sz="4" w:space="0"/>
              <w:left w:val="single" w:color="000000" w:sz="4" w:space="0"/>
              <w:bottom w:val="single" w:color="000000" w:sz="4" w:space="0"/>
              <w:right w:val="single" w:color="000000" w:sz="4" w:space="0"/>
            </w:tcBorders>
          </w:tcPr>
          <w:p w:rsidR="00F93F95" w:rsidRDefault="00A305CB" w14:paraId="61D14C71" w14:textId="77777777">
            <w:pPr>
              <w:spacing w:after="0" w:line="259" w:lineRule="auto"/>
              <w:ind w:left="0" w:firstLine="0"/>
            </w:pPr>
            <w:r>
              <w:t xml:space="preserve">We will ensure there are links on the </w:t>
            </w:r>
          </w:p>
          <w:p w:rsidR="00F93F95" w:rsidRDefault="00A305CB" w14:paraId="356E7EF7" w14:textId="77777777">
            <w:pPr>
              <w:spacing w:after="0" w:line="259" w:lineRule="auto"/>
              <w:ind w:left="0" w:firstLine="0"/>
            </w:pPr>
            <w:r>
              <w:t>Local Offer to the adults’ se</w:t>
            </w:r>
            <w:r>
              <w:t xml:space="preserve">rvices local </w:t>
            </w:r>
          </w:p>
        </w:tc>
      </w:tr>
    </w:tbl>
    <w:p w:rsidR="00F93F95" w:rsidRDefault="00A305CB" w14:paraId="36EB095C" w14:textId="21DF9F83">
      <w:pPr>
        <w:spacing w:after="0" w:line="259" w:lineRule="auto"/>
        <w:ind w:left="0" w:firstLine="0"/>
      </w:pPr>
      <w:r>
        <w:br w:type="page"/>
      </w:r>
    </w:p>
    <w:tbl>
      <w:tblPr>
        <w:tblStyle w:val="TableGrid"/>
        <w:tblW w:w="9018" w:type="dxa"/>
        <w:tblInd w:w="-108" w:type="dxa"/>
        <w:tblCellMar>
          <w:top w:w="8" w:type="dxa"/>
          <w:left w:w="108" w:type="dxa"/>
          <w:bottom w:w="0" w:type="dxa"/>
          <w:right w:w="97" w:type="dxa"/>
        </w:tblCellMar>
        <w:tblLook w:val="04A0" w:firstRow="1" w:lastRow="0" w:firstColumn="1" w:lastColumn="0" w:noHBand="0" w:noVBand="1"/>
      </w:tblPr>
      <w:tblGrid>
        <w:gridCol w:w="4507"/>
        <w:gridCol w:w="4511"/>
      </w:tblGrid>
      <w:tr w:rsidR="00F93F95" w14:paraId="4D786403" w14:textId="77777777">
        <w:trPr>
          <w:trHeight w:val="1390"/>
        </w:trPr>
        <w:tc>
          <w:tcPr>
            <w:tcW w:w="4508" w:type="dxa"/>
            <w:tcBorders>
              <w:top w:val="single" w:color="000000" w:sz="4" w:space="0"/>
              <w:left w:val="single" w:color="000000" w:sz="4" w:space="0"/>
              <w:bottom w:val="single" w:color="000000" w:sz="4" w:space="0"/>
              <w:right w:val="single" w:color="000000" w:sz="4" w:space="0"/>
            </w:tcBorders>
          </w:tcPr>
          <w:p w:rsidR="00F93F95" w:rsidRDefault="00A305CB" w14:paraId="71D2F239" w14:textId="77777777">
            <w:pPr>
              <w:spacing w:after="0" w:line="259" w:lineRule="auto"/>
              <w:ind w:left="0" w:firstLine="0"/>
            </w:pPr>
            <w:r>
              <w:lastRenderedPageBreak/>
              <w:t xml:space="preserve"> </w:t>
            </w:r>
          </w:p>
        </w:tc>
        <w:tc>
          <w:tcPr>
            <w:tcW w:w="4511" w:type="dxa"/>
            <w:tcBorders>
              <w:top w:val="single" w:color="000000" w:sz="4" w:space="0"/>
              <w:left w:val="single" w:color="000000" w:sz="4" w:space="0"/>
              <w:bottom w:val="single" w:color="000000" w:sz="4" w:space="0"/>
              <w:right w:val="single" w:color="000000" w:sz="4" w:space="0"/>
            </w:tcBorders>
          </w:tcPr>
          <w:p w:rsidR="00F93F95" w:rsidRDefault="00A305CB" w14:paraId="44A372D0" w14:textId="77777777">
            <w:pPr>
              <w:spacing w:after="0" w:line="259" w:lineRule="auto"/>
              <w:ind w:left="0" w:right="67" w:firstLine="0"/>
            </w:pPr>
            <w:r>
              <w:t>offer called “My Life, My Care”. We will be clear about the criteria for accessing adults’ services and the range of options available for those who do not meet</w:t>
            </w:r>
            <w:r>
              <w:t xml:space="preserve"> these criteria. </w:t>
            </w:r>
          </w:p>
        </w:tc>
      </w:tr>
      <w:tr w:rsidR="00F93F95" w14:paraId="212541CB" w14:textId="77777777">
        <w:trPr>
          <w:trHeight w:val="838"/>
        </w:trPr>
        <w:tc>
          <w:tcPr>
            <w:tcW w:w="4508" w:type="dxa"/>
            <w:tcBorders>
              <w:top w:val="single" w:color="000000" w:sz="4" w:space="0"/>
              <w:left w:val="single" w:color="000000" w:sz="4" w:space="0"/>
              <w:bottom w:val="single" w:color="000000" w:sz="4" w:space="0"/>
              <w:right w:val="single" w:color="000000" w:sz="4" w:space="0"/>
            </w:tcBorders>
          </w:tcPr>
          <w:p w:rsidR="00F93F95" w:rsidRDefault="00A305CB" w14:paraId="1EA1A7C0" w14:textId="77777777">
            <w:pPr>
              <w:spacing w:after="0" w:line="259" w:lineRule="auto"/>
              <w:ind w:left="0" w:firstLine="0"/>
            </w:pPr>
            <w:r>
              <w:t xml:space="preserve">It is not clear what the transition pathways are for health provision </w:t>
            </w:r>
          </w:p>
        </w:tc>
        <w:tc>
          <w:tcPr>
            <w:tcW w:w="4511" w:type="dxa"/>
            <w:tcBorders>
              <w:top w:val="single" w:color="000000" w:sz="4" w:space="0"/>
              <w:left w:val="single" w:color="000000" w:sz="4" w:space="0"/>
              <w:bottom w:val="single" w:color="000000" w:sz="4" w:space="0"/>
              <w:right w:val="single" w:color="000000" w:sz="4" w:space="0"/>
            </w:tcBorders>
          </w:tcPr>
          <w:p w:rsidR="00F93F95" w:rsidRDefault="00A305CB" w14:paraId="3AAD305D" w14:textId="77777777">
            <w:pPr>
              <w:spacing w:after="0" w:line="259" w:lineRule="auto"/>
              <w:ind w:left="0" w:firstLine="0"/>
            </w:pPr>
            <w:r>
              <w:t xml:space="preserve">We will work with health to make this process clearer and ensure it is clear how it links to BCP’s PfA offer </w:t>
            </w:r>
          </w:p>
        </w:tc>
      </w:tr>
    </w:tbl>
    <w:p w:rsidR="00F93F95" w:rsidRDefault="00A305CB" w14:paraId="2D59D2B4" w14:textId="77777777">
      <w:pPr>
        <w:spacing w:after="0" w:line="259" w:lineRule="auto"/>
        <w:ind w:left="0" w:firstLine="0"/>
        <w:jc w:val="both"/>
      </w:pPr>
      <w:r>
        <w:t xml:space="preserve"> </w:t>
      </w:r>
    </w:p>
    <w:p w:rsidR="00F93F95" w:rsidRDefault="00A305CB" w14:paraId="69F50194" w14:textId="77777777">
      <w:pPr>
        <w:spacing w:after="0" w:line="259" w:lineRule="auto"/>
        <w:ind w:left="0" w:firstLine="0"/>
        <w:jc w:val="both"/>
      </w:pPr>
      <w:r>
        <w:t xml:space="preserve"> </w:t>
      </w:r>
    </w:p>
    <w:p w:rsidR="00F93F95" w:rsidRDefault="00A305CB" w14:paraId="774A81D3" w14:textId="77777777">
      <w:pPr>
        <w:spacing w:after="0" w:line="259" w:lineRule="auto"/>
        <w:ind w:left="0" w:firstLine="0"/>
        <w:jc w:val="both"/>
      </w:pPr>
      <w:r>
        <w:t xml:space="preserve"> </w:t>
      </w:r>
    </w:p>
    <w:sectPr w:rsidR="00F93F95">
      <w:pgSz w:w="11906" w:h="16838"/>
      <w:pgMar w:top="1444" w:right="1465" w:bottom="15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95"/>
    <w:rsid w:val="00A305CB"/>
    <w:rsid w:val="00F9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4AF0"/>
  <w15:docId w15:val="{441E5418-0214-4B1F-A359-EF657C46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preparing_for_adulthood_-_you_said_we_did_december_2019</dc:title>
  <dc:subject>
  </dc:subject>
  <dc:creator>Emma Ferrey</dc:creator>
  <cp:keywords>
  </cp:keywords>
  <cp:lastModifiedBy>Amelia Raine</cp:lastModifiedBy>
  <cp:revision>2</cp:revision>
  <dcterms:created xsi:type="dcterms:W3CDTF">2021-06-06T09:52:00Z</dcterms:created>
  <dcterms:modified xsi:type="dcterms:W3CDTF">2022-07-19T09:08:41Z</dcterms:modified>
</cp:coreProperties>
</file>